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  <w:rPr>
          <w:b/>
          <w:rFonts w:ascii="Arial"/>
          <w:sz w:val="22"/>
          <w:szCs w:val="22"/>
        </w:rPr>
      </w:pPr>
      <w:r>
        <w:rPr>
          <w:b/>
          <w:rFonts w:ascii="Arial"/>
          <w:sz w:val="22"/>
          <w:szCs w:val="22"/>
        </w:rPr>
        <w:t>Cestovní pojištění – Wüstenrot ProCesty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V rámci cestovního pojištění lze kombinovat následující rizika:</w:t>
      </w:r>
    </w:p>
    <w:p>
      <w:pPr>
        <w:pStyle w:val="Normln"/>
        <w:numPr>
          <w:ilvl w:val="0"/>
          <w:numId w:val="961619791"/>
        </w:numPr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léčebné náklady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zavazadel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odpovědnosti za škodu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trvalé následky úrazu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zásah horské služby SR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storno zájezdu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Pro cestovní pojištění lze zvolit tyto formy pojistné smlouvy: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krátkodobé pojištění s možností prodlužování až na 365 dnů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roční paušální pojištění bez automatické prolongace (jednorázové pojistné) </w:t>
      </w:r>
    </w:p>
    <w:p>
      <w:pPr>
        <w:pStyle w:val="Normln"/>
        <w:ind w:left="360"/>
        <w:rPr>
          <w:rFonts w:ascii="Arial"/>
          <w:sz w:val="22"/>
          <w:szCs w:val="22"/>
        </w:rPr>
      </w:pPr>
    </w:p>
    <w:p>
      <w:pPr>
        <w:pStyle w:val="Normln"/>
        <w:ind w:left="360"/>
      </w:pPr>
      <w:r>
        <w:rPr>
          <w:b/>
          <w:rFonts w:ascii="Arial"/>
          <w:sz w:val="22"/>
          <w:szCs w:val="22"/>
        </w:rPr>
        <w:t>Struktura produktu</w:t>
      </w:r>
    </w:p>
    <w:p>
      <w:pPr>
        <w:pStyle w:val="Normln"/>
        <w:rPr>
          <w:b/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Rozdělení na tři zóny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Evropa: zeměpisná oblast Evropy s výjimkou ČR, </w:t>
      </w:r>
      <w:r>
        <w:rPr>
          <w:rFonts w:ascii="Arial"/>
          <w:sz w:val="22"/>
          <w:szCs w:val="22"/>
        </w:rPr>
        <w:t xml:space="preserve">dále </w:t>
      </w:r>
      <w:r>
        <w:rPr>
          <w:rFonts w:ascii="Arial"/>
          <w:sz w:val="22"/>
          <w:szCs w:val="22"/>
        </w:rPr>
        <w:t>Turecko, Izrael, Tunisko, Kanárské ostrovy, Maroko, Egypt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Svět bez ČR, USA, Kanady</w:t>
      </w:r>
      <w:r>
        <w:rPr>
          <w:rFonts w:ascii="Arial"/>
          <w:sz w:val="22"/>
          <w:szCs w:val="22"/>
        </w:rPr>
        <w:t xml:space="preserve"> a</w:t>
      </w:r>
      <w:r>
        <w:rPr>
          <w:rFonts w:ascii="Arial"/>
          <w:sz w:val="22"/>
          <w:szCs w:val="22"/>
        </w:rPr>
        <w:t xml:space="preserve"> Austrálie 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Svět: oblast celého světa bez ČR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Tři balíčky krátkodobého pojištění dle rozsahu krytí</w:t>
      </w:r>
    </w:p>
    <w:p>
      <w:pPr>
        <w:pStyle w:val="Normln"/>
        <w:rPr>
          <w:b/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Cestovatel 1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léčebné výlohy včetně repatriace, </w:t>
      </w:r>
      <w:r>
        <w:rPr>
          <w:rFonts w:ascii="Arial"/>
          <w:sz w:val="22"/>
          <w:szCs w:val="22"/>
        </w:rPr>
        <w:t xml:space="preserve">ošetření </w:t>
      </w:r>
      <w:r>
        <w:rPr>
          <w:rFonts w:ascii="Arial"/>
          <w:sz w:val="22"/>
          <w:szCs w:val="22"/>
        </w:rPr>
        <w:t>zub</w:t>
      </w:r>
      <w:r>
        <w:rPr>
          <w:rFonts w:ascii="Arial"/>
          <w:sz w:val="22"/>
          <w:szCs w:val="22"/>
        </w:rPr>
        <w:t>ů</w:t>
      </w:r>
      <w:r>
        <w:rPr>
          <w:rFonts w:ascii="Arial"/>
          <w:sz w:val="22"/>
          <w:szCs w:val="22"/>
        </w:rPr>
        <w:t>, opatrovník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Cestovatel 2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léčebné výlohy včetně repatriace, </w:t>
      </w:r>
      <w:r>
        <w:rPr>
          <w:rFonts w:ascii="Arial"/>
          <w:sz w:val="22"/>
          <w:szCs w:val="22"/>
        </w:rPr>
        <w:t xml:space="preserve">ošetření </w:t>
      </w:r>
      <w:r>
        <w:rPr>
          <w:rFonts w:ascii="Arial"/>
          <w:sz w:val="22"/>
          <w:szCs w:val="22"/>
        </w:rPr>
        <w:t>zub</w:t>
      </w:r>
      <w:r>
        <w:rPr>
          <w:rFonts w:ascii="Arial"/>
          <w:sz w:val="22"/>
          <w:szCs w:val="22"/>
        </w:rPr>
        <w:t>ů</w:t>
      </w:r>
      <w:r>
        <w:rPr>
          <w:rFonts w:ascii="Arial"/>
          <w:sz w:val="22"/>
          <w:szCs w:val="22"/>
        </w:rPr>
        <w:t>, opatrovník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zavazadel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odpovědnost za škodu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Cestovatel 3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léčebné výlohy včetně repatriace, </w:t>
      </w:r>
      <w:r>
        <w:rPr>
          <w:rFonts w:ascii="Arial"/>
          <w:sz w:val="22"/>
          <w:szCs w:val="22"/>
        </w:rPr>
        <w:t xml:space="preserve">ošetření </w:t>
      </w:r>
      <w:r>
        <w:rPr>
          <w:rFonts w:ascii="Arial"/>
          <w:sz w:val="22"/>
          <w:szCs w:val="22"/>
        </w:rPr>
        <w:t>zub</w:t>
      </w:r>
      <w:r>
        <w:rPr>
          <w:rFonts w:ascii="Arial"/>
          <w:sz w:val="22"/>
          <w:szCs w:val="22"/>
        </w:rPr>
        <w:t>ů</w:t>
      </w:r>
      <w:r>
        <w:rPr>
          <w:rFonts w:ascii="Arial"/>
          <w:sz w:val="22"/>
          <w:szCs w:val="22"/>
        </w:rPr>
        <w:t>, opatrovník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zavazadel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odpovědnost za škodu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úraz (trvalé následky a smrt)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Roční paušál pro opakované vycestování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léčebné výlohy včetně repatriace, </w:t>
      </w:r>
      <w:r>
        <w:rPr>
          <w:rFonts w:ascii="Arial"/>
          <w:sz w:val="22"/>
          <w:szCs w:val="22"/>
        </w:rPr>
        <w:t xml:space="preserve">ošetření </w:t>
      </w:r>
      <w:r>
        <w:rPr>
          <w:rFonts w:ascii="Arial"/>
          <w:sz w:val="22"/>
          <w:szCs w:val="22"/>
        </w:rPr>
        <w:t>zub</w:t>
      </w:r>
      <w:r>
        <w:rPr>
          <w:rFonts w:ascii="Arial"/>
          <w:sz w:val="22"/>
          <w:szCs w:val="22"/>
        </w:rPr>
        <w:t>ů</w:t>
      </w:r>
      <w:r>
        <w:rPr>
          <w:rFonts w:ascii="Arial"/>
          <w:sz w:val="22"/>
          <w:szCs w:val="22"/>
        </w:rPr>
        <w:t>, opatrovník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zavazadel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odpovědnost za škodu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úraz (trvalé následky a smrt)</w:t>
      </w:r>
    </w:p>
    <w:p>
      <w:pPr>
        <w:pStyle w:val="Normln"/>
      </w:pPr>
      <w:r>
        <w:rPr>
          <w:rFonts w:ascii="Arial"/>
          <w:sz w:val="22"/>
          <w:szCs w:val="22"/>
        </w:rPr>
        <w:tab/>
      </w:r>
    </w:p>
    <w:p>
      <w:pPr>
        <w:pStyle w:val="Normln"/>
      </w:pPr>
      <w:r>
        <w:rPr>
          <w:rFonts w:ascii="Arial"/>
          <w:sz w:val="22"/>
          <w:szCs w:val="22"/>
        </w:rPr>
        <w:t>Možnost připojištění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zásah horské služby SR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storno poplatku</w:t>
      </w:r>
    </w:p>
    <w:p>
      <w:pPr>
        <w:pStyle w:val="Normln"/>
        <w:ind w:left="360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Pojistné limity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léčebné výlohy v zahraničí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>3 000 000 Kč</w:t>
      </w:r>
    </w:p>
    <w:p>
      <w:pPr>
        <w:pStyle w:val="Normln"/>
      </w:pPr>
      <w:r>
        <w:rPr>
          <w:rFonts w:ascii="Arial"/>
          <w:sz w:val="22"/>
          <w:szCs w:val="22"/>
        </w:rPr>
        <w:t xml:space="preserve">z toho </w:t>
      </w:r>
      <w:r>
        <w:rPr>
          <w:rFonts w:ascii="Arial"/>
          <w:sz w:val="22"/>
          <w:szCs w:val="22"/>
        </w:rPr>
        <w:tab/>
        <w:t>- repatriace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750 000 Kč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cestovní výlohy opatrovníka</w:t>
      </w:r>
      <w:r>
        <w:rPr>
          <w:rFonts w:ascii="Arial"/>
          <w:sz w:val="22"/>
          <w:szCs w:val="22"/>
        </w:rPr>
        <w:tab/>
        <w:t xml:space="preserve">   200 000 Kč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ošetření zubů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  10 000 Kč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ortézy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  10 000 Kč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 xml:space="preserve">úraz 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trvalé následky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200 000 Kč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smrt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200 000 Kč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pojištění zavazadel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  20 000 Kč</w:t>
      </w:r>
    </w:p>
    <w:p>
      <w:pPr>
        <w:pStyle w:val="Normln"/>
      </w:pPr>
      <w:r>
        <w:rPr>
          <w:rFonts w:ascii="Arial"/>
          <w:sz w:val="22"/>
          <w:szCs w:val="22"/>
        </w:rPr>
        <w:t>z toho</w:t>
      </w:r>
      <w:r>
        <w:rPr>
          <w:rFonts w:ascii="Arial"/>
          <w:sz w:val="22"/>
          <w:szCs w:val="22"/>
        </w:rPr>
        <w:tab/>
        <w:t>- škody na jednom zavazadle</w:t>
      </w:r>
      <w:r>
        <w:rPr>
          <w:rFonts w:ascii="Arial"/>
          <w:sz w:val="22"/>
          <w:szCs w:val="22"/>
        </w:rPr>
        <w:tab/>
        <w:t xml:space="preserve">     10 000 Kč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doručení náhradních dokladů</w:t>
      </w:r>
      <w:r>
        <w:rPr>
          <w:rFonts w:ascii="Arial"/>
          <w:sz w:val="22"/>
          <w:szCs w:val="22"/>
        </w:rPr>
        <w:tab/>
        <w:t xml:space="preserve">       5 000 Kč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odpovědnost za škodu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na zdraví a životě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>1 000 000 Kč</w:t>
      </w:r>
    </w:p>
    <w:p>
      <w:pPr>
        <w:pStyle w:val="Normln"/>
      </w:pPr>
      <w:r>
        <w:rPr>
          <w:rFonts w:ascii="Arial"/>
          <w:sz w:val="22"/>
          <w:szCs w:val="22"/>
        </w:rPr>
        <w:tab/>
        <w:t>- na majetku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 xml:space="preserve">   500 000 Kč</w:t>
      </w:r>
    </w:p>
    <w:p>
      <w:pPr>
        <w:pStyle w:val="Normln"/>
        <w:rPr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 xml:space="preserve">Připojištění rizikového sportu </w:t>
      </w:r>
    </w:p>
    <w:p>
      <w:pPr>
        <w:pStyle w:val="Normln"/>
        <w:numPr>
          <w:ilvl w:val="0"/>
          <w:numId w:val="961619791"/>
        </w:numPr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rozšíření krytí i na škody vzniklé v souvislosti s provozováním r</w:t>
      </w:r>
      <w:r>
        <w:rPr>
          <w:rFonts w:ascii="Arial"/>
          <w:sz w:val="22"/>
          <w:szCs w:val="22"/>
        </w:rPr>
        <w:t>izikové</w:t>
      </w:r>
      <w:r>
        <w:rPr>
          <w:rFonts w:ascii="Arial"/>
          <w:sz w:val="22"/>
          <w:szCs w:val="22"/>
        </w:rPr>
        <w:t xml:space="preserve">ho </w:t>
      </w:r>
      <w:r>
        <w:rPr>
          <w:rFonts w:ascii="Arial"/>
          <w:sz w:val="22"/>
          <w:szCs w:val="22"/>
        </w:rPr>
        <w:t>sport</w:t>
      </w:r>
      <w:r>
        <w:rPr>
          <w:rFonts w:ascii="Arial"/>
          <w:sz w:val="22"/>
          <w:szCs w:val="22"/>
        </w:rPr>
        <w:t xml:space="preserve">u   </w:t>
      </w:r>
    </w:p>
    <w:p>
      <w:pPr>
        <w:pStyle w:val="Normln"/>
        <w:rPr>
          <w:b/>
          <w:rFonts w:ascii="Arial"/>
          <w:sz w:val="22"/>
          <w:szCs w:val="22"/>
        </w:rPr>
      </w:pPr>
    </w:p>
    <w:p>
      <w:pPr>
        <w:pStyle w:val="Normln"/>
      </w:pPr>
      <w:r>
        <w:rPr>
          <w:rFonts w:ascii="Arial"/>
          <w:sz w:val="22"/>
          <w:szCs w:val="22"/>
        </w:rPr>
        <w:t>Forma pojistné smlouvy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k</w:t>
      </w:r>
      <w:r>
        <w:rPr>
          <w:rFonts w:ascii="Arial"/>
          <w:sz w:val="22"/>
          <w:szCs w:val="22"/>
        </w:rPr>
        <w:t>rátkodobé pojištění s možností prolongace až na 365 dnů po sobě jdoucích</w:t>
      </w:r>
    </w:p>
    <w:p>
      <w:pPr>
        <w:pStyle w:val="Normln"/>
        <w:numPr>
          <w:ilvl w:val="0"/>
          <w:numId w:val="961619791"/>
        </w:numPr>
      </w:pPr>
      <w:r>
        <w:rPr>
          <w:rFonts w:ascii="Arial"/>
          <w:sz w:val="22"/>
          <w:szCs w:val="22"/>
        </w:rPr>
        <w:t>p</w:t>
      </w:r>
      <w:r>
        <w:rPr>
          <w:rFonts w:ascii="Arial"/>
          <w:sz w:val="22"/>
          <w:szCs w:val="22"/>
        </w:rPr>
        <w:t>aušální pojištění na rok bez automatické prolongace (max. 90 dnů po sobě jdoucích)</w:t>
      </w:r>
    </w:p>
    <w:p>
      <w:pPr>
        <w:pStyle w:val="Normln"/>
        <w:rPr>
          <w:b/>
          <w:rFonts w:ascii="Arial"/>
          <w:sz w:val="22"/>
          <w:szCs w:val="22"/>
        </w:rPr>
      </w:pPr>
    </w:p>
    <w:p>
      <w:pPr>
        <w:pStyle w:val="Normln"/>
        <w:ind w:left="360"/>
      </w:pPr>
      <w:r>
        <w:rPr>
          <w:b/>
          <w:rFonts w:ascii="Arial"/>
          <w:sz w:val="22"/>
          <w:szCs w:val="22"/>
        </w:rPr>
        <w:t>Sazby</w:t>
      </w:r>
    </w:p>
    <w:tbl>
      <w:tblPr>
        <w:tblStyle w:val="Normálnítabulka"/>
        <w:tblLook w:firstRow="1" w:lastRow="1" w:firstColumn="1" w:lastColumn="1" w:noHBand="0" w:noVBand="0"/>
        <w:tblW w:w="14857" w:type="dxa"/>
      </w:tblPr>
      <w:tblGrid>
        <w:gridCol w:w="9576"/>
        <w:gridCol w:w="843"/>
        <w:gridCol w:w="1569"/>
        <w:gridCol w:w="707"/>
        <w:gridCol w:w="1202"/>
        <w:gridCol w:w="960"/>
      </w:tblGrid>
      <w:tr>
        <w:trPr>
          <w:trHeight w:val="255" w:hRule="atLeast"/>
        </w:trPr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9576" w:type=""/>
          </w:tcPr>
          <w:tbl>
            <w:tblPr>
              <w:tblW w:w="9436" w:type="dxa"/>
            </w:tblPr>
            <w:tblGrid>
              <w:gridCol w:w="3771"/>
              <w:gridCol w:w="1080"/>
              <w:gridCol w:w="2010"/>
              <w:gridCol w:w="2128"/>
              <w:gridCol w:w="223"/>
              <w:gridCol w:w="224"/>
            </w:tblGrid>
            <w:tr>
              <w:trPr>
                <w:trHeight w:val="255" w:hRule="atLeast"/>
              </w:trPr>
              <w:tc>
                <w:tcPr>
                  <w:gridSpan w:val="6"/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9436" w:type=""/>
                </w:tcPr>
                <w:p>
                  <w:pPr>
                    <w:pStyle w:val="Normln"/>
                  </w:pPr>
                  <w:r>
                    <w:rPr>
                      <w:b/>
                      <w:rFonts w:ascii="Arial"/>
                      <w:sz w:val="20"/>
                      <w:szCs w:val="20"/>
                    </w:rPr>
                    <w:t>Krátkodobé cestovní pojištění - sazby jsou kalkulovány na jeden den v Kč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gridSpan w:val="2"/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4851" w:type=""/>
                </w:tcPr>
                <w:p>
                  <w:pPr>
                    <w:pStyle w:val="Normln"/>
                    <w:rPr>
                      <w:b/>
                      <w:color w:val="0000FF"/>
                      <w:rFonts w:ascii="Arial"/>
                      <w:sz w:val="20"/>
                      <w:szCs w:val="20"/>
                    </w:rPr>
                  </w:pPr>
                  <w:r>
                    <w:rPr>
                      <w:b/>
                      <w:rFonts w:ascii="Arial"/>
                      <w:sz w:val="20"/>
                      <w:szCs w:val="20"/>
                    </w:rPr>
                    <w:t>Cestovatel 1</w:t>
                  </w:r>
                  <w:r>
                    <w:rPr>
                      <w:rFonts w:ascii="Arial"/>
                      <w:sz w:val="20"/>
                      <w:szCs w:val="20"/>
                    </w:rPr>
                    <w:t xml:space="preserve"> (léčebné výlohy)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věková kategorie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Evropa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Svět bez USA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Svět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0 -18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shd w:fill="FFCC99"/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18 - 69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70 -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gridSpan w:val="4"/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8989" w:type=""/>
                </w:tcPr>
                <w:p>
                  <w:pPr>
                    <w:pStyle w:val="Normln"/>
                    <w:rPr>
                      <w:b/>
                      <w:color w:val="0000FF"/>
                      <w:rFonts w:ascii="Arial"/>
                      <w:sz w:val="20"/>
                      <w:szCs w:val="20"/>
                    </w:rPr>
                  </w:pPr>
                  <w:r>
                    <w:rPr>
                      <w:b/>
                      <w:rFonts w:ascii="Arial"/>
                      <w:sz w:val="20"/>
                      <w:szCs w:val="20"/>
                    </w:rPr>
                    <w:t>Cestovatel 2</w:t>
                  </w:r>
                  <w:r>
                    <w:rPr>
                      <w:rFonts w:ascii="Arial"/>
                      <w:sz w:val="20"/>
                      <w:szCs w:val="20"/>
                    </w:rPr>
                    <w:t xml:space="preserve"> (léčebné výlohy, zavazadla, odpovědnost)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věková kategorie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Evropa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Svět bez USA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Svět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0 -18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shd w:fill="FFCC99"/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18 - 69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70 -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gridSpan w:val="5"/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9212" w:type=""/>
                </w:tcPr>
                <w:p>
                  <w:pPr>
                    <w:pStyle w:val="Normln"/>
                    <w:rPr>
                      <w:b/>
                      <w:color w:val="0000FF"/>
                      <w:rFonts w:ascii="Arial"/>
                      <w:sz w:val="20"/>
                      <w:szCs w:val="20"/>
                    </w:rPr>
                  </w:pPr>
                  <w:r>
                    <w:rPr>
                      <w:b/>
                      <w:rFonts w:ascii="Arial"/>
                      <w:sz w:val="20"/>
                      <w:szCs w:val="20"/>
                    </w:rPr>
                    <w:t>Cestovatel 3</w:t>
                  </w:r>
                  <w:r>
                    <w:rPr>
                      <w:rFonts w:ascii="Arial"/>
                      <w:sz w:val="20"/>
                      <w:szCs w:val="20"/>
                    </w:rPr>
                    <w:t xml:space="preserve"> (léčebné výlohy,zavazadla, odpovědnost, trvalé následky)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věková kategorie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Evropa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Svět bez USA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Svět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0 -18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shd w:fill="FFCC99"/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18 - 69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70 -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gridSpan w:val="6"/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9436" w:type=""/>
                </w:tcPr>
                <w:p>
                  <w:pPr>
                    <w:pStyle w:val="Normln"/>
                    <w:rPr>
                      <w:b/>
                      <w:rFonts w:ascii="Arial"/>
                      <w:sz w:val="20"/>
                      <w:szCs w:val="20"/>
                    </w:rPr>
                  </w:pPr>
                </w:p>
                <w:p>
                  <w:pPr>
                    <w:pStyle w:val="Normln"/>
                  </w:pPr>
                  <w:r>
                    <w:rPr>
                      <w:b/>
                      <w:rFonts w:ascii="Arial"/>
                      <w:sz w:val="20"/>
                      <w:szCs w:val="20"/>
                    </w:rPr>
                    <w:t>Roční paušální cestovní pojištění</w:t>
                  </w:r>
                  <w:r>
                    <w:rPr>
                      <w:b/>
                      <w:rFonts w:ascii="Arial"/>
                      <w:sz w:val="20"/>
                      <w:szCs w:val="20"/>
                    </w:rPr>
                    <w:t xml:space="preserve"> - sazby jsou kalkulovány na jeden rok v Kč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věková kategorie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Evropa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Svět bez USA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Svět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0 -18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shd w:fill="FFCC99"/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18 - 69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3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  <w:tc>
                <w:tcPr>
                  <w:tcBorders>
                    <w:top w:val="none" w:sz="0" w:color="auto" w:space="0"/>
                    <w:bottom w:val="none" w:sz="0" w:color="auto" w:space="0"/>
                    <w:left w:val="none" w:sz="0" w:color="auto" w:space="0"/>
                    <w:right w:val="none" w:sz="0" w:color="auto" w:space="0"/>
                  </w:tcBorders>
                  <w:vAlign w:val="bottom"/>
                  <w:tcW w:w="224" w:type=""/>
                </w:tcPr>
                <w:p>
                  <w:pPr>
                    <w:pStyle w:val="Normln"/>
                    <w:rPr>
                      <w:rFonts w:asci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771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70 -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108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01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Borders>
                    <w:top w:val="none" w:sz="0" w:color="auto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2128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800</w:t>
                  </w:r>
                </w:p>
              </w:tc>
            </w:tr>
          </w:tbl>
          <w:p>
            <w:pPr>
              <w:pStyle w:val="Normln"/>
            </w:pPr>
          </w:p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843" w:type=""/>
          </w:tcPr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1569" w:type=""/>
          </w:tcPr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707" w:type=""/>
          </w:tcPr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1202" w:type=""/>
          </w:tcPr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960" w:type=""/>
          </w:tcPr>
          <w:p>
            <w:pPr>
              <w:pStyle w:val="Normln"/>
            </w:pPr>
          </w:p>
        </w:tc>
      </w:tr>
      <w:tr>
        <w:trPr>
          <w:trHeight w:val="255" w:hRule="atLeast"/>
        </w:trPr>
        <w:tc>
          <w:tcPr>
            <w:gridSpan w:val="4"/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12695" w:type=""/>
          </w:tcPr>
          <w:p>
            <w:pPr>
              <w:pStyle w:val="Normln"/>
            </w:pPr>
            <w:r>
              <w:rPr>
                <w:b/>
                <w:rFonts w:ascii="Arial"/>
                <w:sz w:val="20"/>
                <w:szCs w:val="20"/>
              </w:rPr>
              <w:t>Další připojištění</w:t>
            </w:r>
          </w:p>
          <w:tbl>
            <w:tblPr>
              <w:tblW w:w="8957" w:type="dxa"/>
            </w:tblPr>
            <w:tblGrid>
              <w:gridCol w:w="3000"/>
              <w:gridCol w:w="1817"/>
              <w:gridCol w:w="4140"/>
            </w:tblGrid>
            <w:tr>
              <w:trPr>
                <w:trHeight w:val="255" w:hRule="atLeast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00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druh připojištění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817" w:type=""/>
                </w:tcPr>
                <w:p>
                  <w:pPr>
                    <w:pStyle w:val="Normln"/>
                    <w:jc w:val="center"/>
                    <w:rPr>
                      <w:rFonts w:ascii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/>
                      <w:sz w:val="20"/>
                      <w:szCs w:val="20"/>
                    </w:rPr>
                    <w:t>azba</w:t>
                  </w:r>
                  <w:r>
                    <w:rPr>
                      <w:rFonts w:ascii="Arial"/>
                      <w:sz w:val="20"/>
                      <w:szCs w:val="20"/>
                    </w:rPr>
                    <w:t>/koeficient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4140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b/>
                      <w:rFonts w:ascii="Arial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00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rizikové sporty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817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414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násobí se pojistné za balíček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00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storno poplatek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817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3,5 %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414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z limitu plnění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Borders>
                    <w:top w:val="none" w:sz="0" w:color="auto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bottom"/>
                  <w:tcW w:w="300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>zásah horské služby v SR*)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shd w:fill="FFCC99"/>
                  <w:vAlign w:val="bottom"/>
                  <w:tcW w:w="1817" w:type=""/>
                </w:tcPr>
                <w:p>
                  <w:pPr>
                    <w:pStyle w:val="Normln"/>
                    <w:jc w:val="center"/>
                  </w:pPr>
                  <w:r>
                    <w:rPr>
                      <w:rFonts w:ascii="Arial"/>
                      <w:sz w:val="20"/>
                      <w:szCs w:val="20"/>
                    </w:rPr>
                    <w:t>3 Kč / den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none" w:sz="0" w:color="auto" w:space="0"/>
                    <w:right w:val="single" w:sz="4" w:color="000000" w:space="0"/>
                  </w:tcBorders>
                  <w:vAlign w:val="bottom"/>
                  <w:tcW w:w="4140" w:type=""/>
                </w:tcPr>
                <w:p>
                  <w:pPr>
                    <w:pStyle w:val="Normln"/>
                  </w:pPr>
                  <w:r>
                    <w:rPr>
                      <w:rFonts w:ascii="Arial"/>
                      <w:sz w:val="20"/>
                      <w:szCs w:val="20"/>
                    </w:rPr>
                    <w:t xml:space="preserve">připočítává se k pojistnému za balíček </w:t>
                  </w:r>
                </w:p>
              </w:tc>
            </w:tr>
          </w:tbl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1202" w:type=""/>
          </w:tcPr>
          <w:p>
            <w:pPr>
              <w:pStyle w:val="Normln"/>
            </w:pPr>
          </w:p>
        </w:tc>
        <w:tc>
          <w:tcPr>
            <w:tcBorders>
              <w:top w:val="none" w:sz="0" w:color="auto" w:space="0"/>
              <w:bottom w:val="none" w:sz="0" w:color="auto" w:space="0"/>
              <w:left w:val="none" w:sz="0" w:color="auto" w:space="0"/>
              <w:right w:val="none" w:sz="0" w:color="auto" w:space="0"/>
            </w:tcBorders>
            <w:vAlign w:val="bottom"/>
            <w:tcW w:w="960" w:type=""/>
          </w:tcPr>
          <w:p>
            <w:pPr>
              <w:pStyle w:val="Normln"/>
            </w:pPr>
          </w:p>
        </w:tc>
      </w:tr>
    </w:tbl>
    <w:p>
      <w:pPr>
        <w:pStyle w:val="Normln"/>
      </w:pPr>
      <w:r>
        <w:rPr>
          <w:b/>
          <w:rFonts w:ascii="Arial"/>
          <w:sz w:val="22"/>
          <w:szCs w:val="22"/>
        </w:rPr>
        <w:t>*)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v ročním paušálu je sazba za horskou službu v SR zahrnuta</w:t>
      </w:r>
    </w:p>
    <w:p>
      <w:pPr>
        <w:pStyle w:val="Normln"/>
      </w:pPr>
    </w:p>
    <w:sectPr>
      <w:pgSz w:w="11906" w:h="16838"/>
      <w:pgMar w:left="1417" w:right="1417" w:top="1417" w:bottom="1417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Courier New"/>
  <w:font w:name="Wingdings"/>
  <w:font w:name="Calibri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3990742">
    <w:multiLevelType w:val="hybridMultilevel"/>
    <w:lvl w:ilvl="0">
      <w:numFmt w:val="decimal"/>
      <w:lvlText w:val="%1."/>
      <w:start w:val="1"/>
      <w:lvlJc w:val="left"/>
      <w:pPr>
        <w:ind w:left="360"/>
        <w:ind w:hanging="360"/>
      </w:pPr>
      <w:rPr/>
    </w:lvl>
    <w:lvl w:ilvl="1">
      <w:numFmt w:val="decimal"/>
      <w:lvlText w:val="%1.%2."/>
      <w:start w:val="1"/>
      <w:lvlJc w:val="left"/>
      <w:pPr>
        <w:ind w:left="792"/>
        <w:ind w:hanging="432"/>
      </w:pPr>
      <w:rPr/>
    </w:lvl>
    <w:lvl w:ilvl="2">
      <w:numFmt w:val="decimal"/>
      <w:lvlText w:val="%1.%2.%3."/>
      <w:start w:val="1"/>
      <w:lvlJc w:val="left"/>
      <w:pPr>
        <w:ind w:left="1224"/>
        <w:ind w:hanging="504"/>
      </w:pPr>
      <w:rPr/>
    </w:lvl>
    <w:lvl w:ilvl="3">
      <w:numFmt w:val="decimal"/>
      <w:lvlText w:val="%1.%2.%3.%4."/>
      <w:start w:val="1"/>
      <w:lvlJc w:val="left"/>
      <w:pPr>
        <w:ind w:left="1728"/>
        <w:ind w:hanging="648"/>
      </w:pPr>
      <w:rPr/>
    </w:lvl>
    <w:lvl w:ilvl="4">
      <w:numFmt w:val="decimal"/>
      <w:lvlText w:val="%1.%2.%3.%4.%5."/>
      <w:start w:val="1"/>
      <w:lvlJc w:val="left"/>
      <w:pPr>
        <w:ind w:left="2232"/>
        <w:ind w:hanging="792"/>
      </w:pPr>
      <w:rPr/>
    </w:lvl>
    <w:lvl w:ilvl="5">
      <w:numFmt w:val="decimal"/>
      <w:lvlText w:val="%1.%2.%3.%4.%5.%6."/>
      <w:start w:val="1"/>
      <w:lvlJc w:val="left"/>
      <w:pPr>
        <w:ind w:left="2736"/>
        <w:ind w:hanging="936"/>
      </w:pPr>
      <w:rPr/>
    </w:lvl>
    <w:lvl w:ilvl="6">
      <w:numFmt w:val="decimal"/>
      <w:lvlText w:val="%1.%2.%3.%4.%5.%6.%7."/>
      <w:start w:val="1"/>
      <w:lvlJc w:val="left"/>
      <w:pPr>
        <w:ind w:left="3240"/>
        <w:ind w:hanging="1080"/>
      </w:pPr>
      <w:rPr/>
    </w:lvl>
    <w:lvl w:ilvl="7">
      <w:numFmt w:val="decimal"/>
      <w:lvlText w:val="%1.%2.%3.%4.%5.%6.%7.%8."/>
      <w:start w:val="1"/>
      <w:lvlJc w:val="left"/>
      <w:pPr>
        <w:ind w:left="3744"/>
        <w:ind w:hanging="1224"/>
      </w:pPr>
      <w:rPr/>
    </w:lvl>
    <w:lvl w:ilvl="8">
      <w:numFmt w:val="decimal"/>
      <w:lvlText w:val="%1.%2.%3.%4.%5.%6.%7.%8.%9."/>
      <w:start w:val="1"/>
      <w:lvlJc w:val="left"/>
      <w:pPr>
        <w:ind w:left="4320"/>
        <w:ind w:hanging="1440"/>
      </w:pPr>
      <w:rPr/>
    </w:lvl>
  </w:abstractNum>
  <w:abstractNum w:abstractNumId="961619791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/>
      </w:rPr>
    </w:lvl>
  </w:abstractNum>
  <w:num w:numId="363990742">
    <w:abstractNumId w:val="363990742"/>
  </w:num>
  <w:num w:numId="961619791">
    <w:abstractNumId w:val="9616197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Bezseznamu">
    <w:name w:val="Bez seznamu"/>
    <w:qFormat/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paragraph" w:default="1" w:styleId="Normal">
    <w:name w:val="Normal"/>
    <w:qFormat/>
  </w:style>
  <w:style w:type="paragraph" w:styleId="Normln">
    <w:name w:val="Normální"/>
    <w:qFormat/>
    <w:rPr>
      <w:sz w:val="24"/>
      <w:szCs w:val="24"/>
    </w:rPr>
    <w:pPr/>
  </w:style>
  <w:style w:type="table" w:styleId="Normlntabulka">
    <w:name w:val="Normální tabulka"/>
    <w:qFormat/>
    <w:pPr/>
  </w:style>
  <w:style w:type="character" w:styleId="Standardnpsmoodstavce">
    <w:name w:val="Standardní písmo odstavce"/>
    <w:qFormat/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